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349" w:rsidRDefault="004542F1">
      <w:pPr>
        <w:spacing w:after="27"/>
        <w:ind w:left="4784" w:right="65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ЗАТВЕРДЖЕНО </w:t>
      </w:r>
    </w:p>
    <w:p w:rsidR="00BC0349" w:rsidRDefault="004542F1">
      <w:pPr>
        <w:pStyle w:val="1"/>
        <w:ind w:left="8657"/>
      </w:pPr>
      <w:r>
        <w:t xml:space="preserve">Наказ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</w:p>
    <w:p w:rsidR="00BC0349" w:rsidRDefault="004542F1">
      <w:pPr>
        <w:spacing w:after="0"/>
        <w:ind w:left="478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26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2014  №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836 </w:t>
      </w:r>
    </w:p>
    <w:p w:rsidR="00BC0349" w:rsidRDefault="004542F1">
      <w:pPr>
        <w:spacing w:after="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C0349" w:rsidRDefault="004542F1">
      <w:pPr>
        <w:spacing w:after="32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C0349" w:rsidRDefault="004542F1">
      <w:pPr>
        <w:spacing w:after="32"/>
        <w:ind w:right="73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ЗВІТ </w:t>
      </w:r>
    </w:p>
    <w:p w:rsidR="00BC0349" w:rsidRDefault="004542F1">
      <w:pPr>
        <w:spacing w:after="0" w:line="272" w:lineRule="auto"/>
        <w:ind w:left="6155" w:right="2627" w:hanging="3236"/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паспорта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бюджетної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бюджету станом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на  01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січня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2018  року </w:t>
      </w:r>
    </w:p>
    <w:p w:rsidR="00BC0349" w:rsidRDefault="004542F1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C0349" w:rsidRDefault="004542F1">
      <w:pPr>
        <w:spacing w:after="0"/>
        <w:ind w:left="72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BC0349" w:rsidRDefault="004542F1">
      <w:pPr>
        <w:spacing w:after="1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C0349" w:rsidRDefault="004542F1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2400000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культур</w:t>
      </w:r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и Камінь-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 xml:space="preserve"> районної державної адміністрації</w:t>
      </w:r>
    </w:p>
    <w:p w:rsidR="00BC0349" w:rsidRDefault="004542F1">
      <w:pPr>
        <w:spacing w:after="13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sz w:val="20"/>
        </w:rPr>
        <w:t>розпорядника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C0349" w:rsidRDefault="004542F1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2410000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культур</w:t>
      </w:r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и Камінь-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 xml:space="preserve"> районної державної адміністрації</w:t>
      </w:r>
    </w:p>
    <w:p w:rsidR="00BC0349" w:rsidRDefault="004542F1">
      <w:pPr>
        <w:spacing w:after="13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відповідального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виконавця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</w:p>
    <w:p w:rsidR="00BC0349" w:rsidRDefault="004542F1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2414100          0960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Школи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естетичного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виховання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C0349" w:rsidRDefault="004542F1">
      <w:pPr>
        <w:spacing w:after="13" w:line="248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(КФКВК)</w:t>
      </w:r>
      <w:r>
        <w:rPr>
          <w:rFonts w:ascii="Times New Roman" w:eastAsia="Times New Roman" w:hAnsi="Times New Roman" w:cs="Times New Roman"/>
          <w:sz w:val="20"/>
          <w:vertAlign w:val="superscript"/>
        </w:rPr>
        <w:t>1</w:t>
      </w:r>
      <w:r>
        <w:rPr>
          <w:rFonts w:ascii="Times New Roman" w:eastAsia="Times New Roman" w:hAnsi="Times New Roman" w:cs="Times New Roman"/>
          <w:sz w:val="20"/>
        </w:rPr>
        <w:t xml:space="preserve">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</w:p>
    <w:p w:rsidR="00BC0349" w:rsidRDefault="004542F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C0349" w:rsidRDefault="004542F1">
      <w:pPr>
        <w:spacing w:after="26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C0349" w:rsidRDefault="004542F1">
      <w:pPr>
        <w:pStyle w:val="1"/>
        <w:ind w:left="-5"/>
      </w:pPr>
      <w:r>
        <w:t xml:space="preserve">     4. </w:t>
      </w:r>
      <w:proofErr w:type="spellStart"/>
      <w:r>
        <w:t>Видатки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за бюджетною </w:t>
      </w:r>
      <w:proofErr w:type="spellStart"/>
      <w:r>
        <w:t>програмою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</w:p>
    <w:p w:rsidR="00BC0349" w:rsidRDefault="004542F1">
      <w:pPr>
        <w:spacing w:after="19"/>
        <w:ind w:right="14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BC0349" w:rsidRDefault="004542F1">
      <w:pPr>
        <w:spacing w:after="0"/>
        <w:ind w:left="10" w:right="55" w:hanging="10"/>
        <w:jc w:val="right"/>
      </w:pPr>
      <w:r>
        <w:rPr>
          <w:rFonts w:ascii="Times New Roman" w:eastAsia="Times New Roman" w:hAnsi="Times New Roman" w:cs="Times New Roman"/>
        </w:rPr>
        <w:t xml:space="preserve">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360" w:type="dxa"/>
        <w:tblInd w:w="-110" w:type="dxa"/>
        <w:tblCellMar>
          <w:top w:w="10" w:type="dxa"/>
          <w:right w:w="12" w:type="dxa"/>
        </w:tblCellMar>
        <w:tblLook w:val="04A0" w:firstRow="1" w:lastRow="0" w:firstColumn="1" w:lastColumn="0" w:noHBand="0" w:noVBand="1"/>
      </w:tblPr>
      <w:tblGrid>
        <w:gridCol w:w="1709"/>
        <w:gridCol w:w="2050"/>
        <w:gridCol w:w="1537"/>
        <w:gridCol w:w="1815"/>
        <w:gridCol w:w="2093"/>
        <w:gridCol w:w="1244"/>
        <w:gridCol w:w="1661"/>
        <w:gridCol w:w="1969"/>
        <w:gridCol w:w="1282"/>
      </w:tblGrid>
      <w:tr w:rsidR="00BC0349">
        <w:trPr>
          <w:trHeight w:val="264"/>
        </w:trPr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0349" w:rsidRDefault="004542F1">
            <w:pPr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кредит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-12"/>
            </w:pPr>
            <w:r>
              <w:rPr>
                <w:rFonts w:ascii="Times New Roman" w:eastAsia="Times New Roman" w:hAnsi="Times New Roman" w:cs="Times New Roman"/>
              </w:rPr>
              <w:t xml:space="preserve">и)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0349" w:rsidRDefault="00BC0349"/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C0349" w:rsidRDefault="004542F1">
            <w:pPr>
              <w:ind w:left="25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0349" w:rsidRDefault="00BC0349"/>
        </w:tc>
      </w:tr>
      <w:tr w:rsidR="00BC0349">
        <w:trPr>
          <w:trHeight w:val="514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1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78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68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97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19" w:right="5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34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BC0349">
        <w:trPr>
          <w:trHeight w:val="264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</w:tr>
      <w:tr w:rsidR="00BC0349">
        <w:trPr>
          <w:trHeight w:val="264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3627,1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21"/>
              <w:jc w:val="center"/>
              <w:rPr>
                <w:lang w:val="uk-UA"/>
              </w:rPr>
            </w:pPr>
            <w:r>
              <w:rPr>
                <w:lang w:val="uk-UA"/>
              </w:rPr>
              <w:t>3627,1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3627,0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6"/>
              <w:jc w:val="center"/>
              <w:rPr>
                <w:lang w:val="uk-UA"/>
              </w:rPr>
            </w:pPr>
            <w:r>
              <w:rPr>
                <w:lang w:val="uk-UA"/>
              </w:rPr>
              <w:t>3627,0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</w:tbl>
    <w:p w:rsidR="00BC0349" w:rsidRDefault="004542F1">
      <w:pPr>
        <w:spacing w:after="0"/>
        <w:ind w:left="283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B3D84" w:rsidRDefault="001B3D84">
      <w:pPr>
        <w:pStyle w:val="1"/>
        <w:ind w:left="293"/>
      </w:pPr>
    </w:p>
    <w:p w:rsidR="001B3D84" w:rsidRDefault="001B3D84">
      <w:pPr>
        <w:pStyle w:val="1"/>
        <w:ind w:left="293"/>
      </w:pPr>
    </w:p>
    <w:p w:rsidR="001B3D84" w:rsidRDefault="001B3D84">
      <w:pPr>
        <w:pStyle w:val="1"/>
        <w:ind w:left="293"/>
      </w:pPr>
    </w:p>
    <w:p w:rsidR="00BC0349" w:rsidRDefault="004542F1">
      <w:pPr>
        <w:pStyle w:val="1"/>
        <w:ind w:left="293"/>
      </w:pPr>
      <w:r>
        <w:t xml:space="preserve">5.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підпрограм</w:t>
      </w:r>
      <w:proofErr w:type="spellEnd"/>
      <w:r>
        <w:t xml:space="preserve"> та </w:t>
      </w:r>
      <w:proofErr w:type="spellStart"/>
      <w:r>
        <w:t>завдань</w:t>
      </w:r>
      <w:proofErr w:type="spellEnd"/>
      <w:r>
        <w:t xml:space="preserve"> </w:t>
      </w:r>
    </w:p>
    <w:p w:rsidR="00BC0349" w:rsidRDefault="004542F1">
      <w:pPr>
        <w:spacing w:after="0"/>
        <w:ind w:right="89"/>
        <w:jc w:val="center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326" w:type="dxa"/>
        <w:tblInd w:w="-110" w:type="dxa"/>
        <w:tblCellMar>
          <w:top w:w="5" w:type="dxa"/>
          <w:right w:w="8" w:type="dxa"/>
        </w:tblCellMar>
        <w:tblLook w:val="04A0" w:firstRow="1" w:lastRow="0" w:firstColumn="1" w:lastColumn="0" w:noHBand="0" w:noVBand="1"/>
      </w:tblPr>
      <w:tblGrid>
        <w:gridCol w:w="580"/>
        <w:gridCol w:w="1181"/>
        <w:gridCol w:w="936"/>
        <w:gridCol w:w="3719"/>
        <w:gridCol w:w="1124"/>
        <w:gridCol w:w="932"/>
        <w:gridCol w:w="965"/>
        <w:gridCol w:w="1071"/>
        <w:gridCol w:w="912"/>
        <w:gridCol w:w="936"/>
        <w:gridCol w:w="999"/>
        <w:gridCol w:w="911"/>
        <w:gridCol w:w="1060"/>
      </w:tblGrid>
      <w:tr w:rsidR="00BC0349" w:rsidTr="004542F1">
        <w:trPr>
          <w:trHeight w:val="769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spacing w:after="13"/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Default="004542F1">
            <w:pPr>
              <w:spacing w:after="14"/>
              <w:ind w:left="187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BC0349" w:rsidRDefault="004542F1">
            <w:pPr>
              <w:ind w:left="158"/>
            </w:pPr>
            <w:r>
              <w:rPr>
                <w:rFonts w:ascii="Times New Roman" w:eastAsia="Times New Roman" w:hAnsi="Times New Roman" w:cs="Times New Roman"/>
              </w:rPr>
              <w:t xml:space="preserve">з/п 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158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КПКВК  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90"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КФКВ К </w:t>
            </w: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296" w:right="18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Підпрограма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2 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380" w:right="35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spacing w:after="1" w:line="278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 </w:t>
            </w:r>
          </w:p>
          <w:p w:rsidR="00BC0349" w:rsidRDefault="004542F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4542F1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/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29" w:firstLine="86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tabs>
                <w:tab w:val="center" w:pos="483"/>
              </w:tabs>
              <w:ind w:left="-1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разом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6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</w:t>
            </w:r>
            <w:proofErr w:type="spellEnd"/>
          </w:p>
          <w:p w:rsidR="00BC0349" w:rsidRDefault="004542F1">
            <w:pPr>
              <w:ind w:left="-1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92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spacing w:after="18"/>
              <w:ind w:left="144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</w:t>
            </w:r>
            <w:proofErr w:type="spellEnd"/>
          </w:p>
          <w:p w:rsidR="00BC0349" w:rsidRDefault="004542F1">
            <w:pPr>
              <w:ind w:right="107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й фонд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264" w:hanging="16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BC0349" w:rsidTr="004542F1">
        <w:trPr>
          <w:trHeight w:val="26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0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0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</w:tr>
      <w:tr w:rsidR="00BC0349" w:rsidTr="004542F1">
        <w:trPr>
          <w:trHeight w:val="97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206"/>
            </w:pPr>
            <w:r>
              <w:rPr>
                <w:rFonts w:ascii="Times New Roman" w:eastAsia="Times New Roman" w:hAnsi="Times New Roman" w:cs="Times New Roman"/>
              </w:rPr>
              <w:t xml:space="preserve">2414100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0960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spacing w:after="45" w:line="235" w:lineRule="auto"/>
              <w:ind w:left="110" w:right="10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початкової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музичної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хореографічної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образотворчого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мистецтва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і </w:t>
            </w:r>
          </w:p>
          <w:p w:rsidR="00BC0349" w:rsidRDefault="004542F1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художнього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промислу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54"/>
              <w:jc w:val="center"/>
              <w:rPr>
                <w:lang w:val="uk-UA"/>
              </w:rPr>
            </w:pPr>
            <w:r>
              <w:rPr>
                <w:lang w:val="uk-UA"/>
              </w:rPr>
              <w:t>3627,1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63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25"/>
              <w:rPr>
                <w:lang w:val="uk-UA"/>
              </w:rPr>
            </w:pPr>
            <w:r>
              <w:rPr>
                <w:lang w:val="uk-UA"/>
              </w:rPr>
              <w:t>3627,1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78"/>
              <w:rPr>
                <w:lang w:val="uk-UA"/>
              </w:rPr>
            </w:pPr>
            <w:r>
              <w:rPr>
                <w:lang w:val="uk-UA"/>
              </w:rPr>
              <w:t>3627,0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54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06"/>
              <w:rPr>
                <w:lang w:val="uk-UA"/>
              </w:rPr>
            </w:pPr>
            <w:r>
              <w:rPr>
                <w:lang w:val="uk-UA"/>
              </w:rPr>
              <w:t>3627,0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4542F1" w:rsidRDefault="004542F1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4542F1" w:rsidTr="004542F1">
        <w:trPr>
          <w:trHeight w:val="51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Default="004542F1" w:rsidP="004542F1">
            <w:pPr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Default="004542F1" w:rsidP="004542F1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Default="004542F1" w:rsidP="004542F1">
            <w:pPr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Default="004542F1" w:rsidP="004542F1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Pr="004542F1" w:rsidRDefault="004542F1" w:rsidP="004542F1">
            <w:pPr>
              <w:ind w:left="54"/>
              <w:jc w:val="center"/>
              <w:rPr>
                <w:lang w:val="uk-UA"/>
              </w:rPr>
            </w:pPr>
            <w:r>
              <w:rPr>
                <w:lang w:val="uk-UA"/>
              </w:rPr>
              <w:t>3627,1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Pr="004542F1" w:rsidRDefault="004542F1" w:rsidP="004542F1">
            <w:pPr>
              <w:ind w:left="163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Pr="004542F1" w:rsidRDefault="004542F1" w:rsidP="004542F1">
            <w:pPr>
              <w:ind w:left="125"/>
              <w:rPr>
                <w:lang w:val="uk-UA"/>
              </w:rPr>
            </w:pPr>
            <w:r>
              <w:rPr>
                <w:lang w:val="uk-UA"/>
              </w:rPr>
              <w:t>3627,1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Pr="004542F1" w:rsidRDefault="004542F1" w:rsidP="004542F1">
            <w:pPr>
              <w:ind w:left="178"/>
              <w:rPr>
                <w:lang w:val="uk-UA"/>
              </w:rPr>
            </w:pPr>
            <w:r>
              <w:rPr>
                <w:lang w:val="uk-UA"/>
              </w:rPr>
              <w:t>3627,0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Pr="004542F1" w:rsidRDefault="004542F1" w:rsidP="004542F1">
            <w:pPr>
              <w:ind w:left="154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Pr="004542F1" w:rsidRDefault="004542F1" w:rsidP="004542F1">
            <w:pPr>
              <w:ind w:left="106"/>
              <w:rPr>
                <w:lang w:val="uk-UA"/>
              </w:rPr>
            </w:pPr>
            <w:r>
              <w:rPr>
                <w:lang w:val="uk-UA"/>
              </w:rPr>
              <w:t>3627,0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Pr="004542F1" w:rsidRDefault="004542F1" w:rsidP="004542F1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Pr="004542F1" w:rsidRDefault="004542F1" w:rsidP="004542F1">
            <w:pPr>
              <w:ind w:left="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F1" w:rsidRPr="004542F1" w:rsidRDefault="004542F1" w:rsidP="004542F1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</w:tbl>
    <w:p w:rsidR="00BC0349" w:rsidRDefault="004542F1" w:rsidP="00312DDD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6.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Видатки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реалізацію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регіональних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цільових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виконуються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межах </w:t>
      </w:r>
      <w:proofErr w:type="spellStart"/>
      <w:r>
        <w:rPr>
          <w:rFonts w:ascii="Times New Roman" w:eastAsia="Times New Roman" w:hAnsi="Times New Roman" w:cs="Times New Roman"/>
          <w:sz w:val="28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звітний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C0349" w:rsidRDefault="004542F1">
      <w:pPr>
        <w:pStyle w:val="1"/>
        <w:ind w:left="-5"/>
      </w:pPr>
      <w:r>
        <w:t xml:space="preserve">7. </w:t>
      </w:r>
      <w:proofErr w:type="spellStart"/>
      <w:r>
        <w:t>Результативні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та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</w:p>
    <w:p w:rsidR="00BC0349" w:rsidRDefault="004542F1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15292" w:type="dxa"/>
        <w:tblInd w:w="-110" w:type="dxa"/>
        <w:tblCellMar>
          <w:top w:w="53" w:type="dxa"/>
          <w:left w:w="12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1162"/>
        <w:gridCol w:w="3611"/>
        <w:gridCol w:w="51"/>
        <w:gridCol w:w="1080"/>
        <w:gridCol w:w="53"/>
        <w:gridCol w:w="1438"/>
        <w:gridCol w:w="72"/>
        <w:gridCol w:w="2370"/>
        <w:gridCol w:w="2497"/>
        <w:gridCol w:w="2451"/>
      </w:tblGrid>
      <w:tr w:rsidR="004542F1" w:rsidTr="00A14A05">
        <w:trPr>
          <w:trHeight w:val="115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F1" w:rsidRDefault="004542F1">
            <w:pPr>
              <w:spacing w:after="14"/>
              <w:ind w:left="29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4542F1" w:rsidRDefault="004542F1">
            <w:r>
              <w:rPr>
                <w:rFonts w:ascii="Times New Roman" w:eastAsia="Times New Roman" w:hAnsi="Times New Roman" w:cs="Times New Roman"/>
              </w:rPr>
              <w:t xml:space="preserve">з/п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42F1" w:rsidRDefault="004542F1">
            <w:pPr>
              <w:ind w:left="91"/>
            </w:pPr>
            <w:r>
              <w:rPr>
                <w:rFonts w:ascii="Times New Roman" w:eastAsia="Times New Roman" w:hAnsi="Times New Roman" w:cs="Times New Roman"/>
              </w:rPr>
              <w:t xml:space="preserve">КПКВК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42F1" w:rsidRDefault="004542F1">
            <w:pPr>
              <w:ind w:right="5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F1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Одиниця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виміру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F1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F1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542F1" w:rsidRDefault="004542F1">
            <w:pPr>
              <w:spacing w:after="16"/>
              <w:ind w:right="4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4542F1" w:rsidRDefault="004542F1" w:rsidP="004542F1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F1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Виконано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542F1" w:rsidRDefault="004542F1" w:rsidP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42F1" w:rsidRDefault="004542F1">
            <w:pPr>
              <w:ind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2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332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5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початкової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музичної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хореографічної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та з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образотворчого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мистецтва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художнього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промислу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2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7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2414100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затрат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2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Мережа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A14A05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542F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A14A05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2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2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Pr="00A14A05" w:rsidRDefault="004542F1" w:rsidP="00A14A05">
            <w:pPr>
              <w:ind w:left="5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Школ</w:t>
            </w:r>
            <w:r w:rsidR="00A14A05">
              <w:rPr>
                <w:rFonts w:ascii="Times New Roman" w:eastAsia="Times New Roman" w:hAnsi="Times New Roman" w:cs="Times New Roman"/>
                <w:lang w:val="uk-UA"/>
              </w:rPr>
              <w:t>а естетичного виховання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Мережа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51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–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42,93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42,93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519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керівних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46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46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76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педагогічного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персоналу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Тарифікація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педагогічних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33,18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33,18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519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обслуговуючого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персоналу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7,75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0"/>
              <w:jc w:val="center"/>
              <w:rPr>
                <w:lang w:val="uk-UA"/>
              </w:rPr>
            </w:pPr>
            <w:r>
              <w:rPr>
                <w:lang w:val="uk-UA"/>
              </w:rPr>
              <w:t>7,75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76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відділень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фортепіано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народні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інструменти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Тарифікація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педагогічних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769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класів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Тарифікація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педагогічних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6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76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 школах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естетичного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виховання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4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Кошторис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3627,1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A05" w:rsidRDefault="00A14A05">
            <w:pPr>
              <w:ind w:right="51"/>
              <w:jc w:val="center"/>
              <w:rPr>
                <w:lang w:val="uk-UA"/>
              </w:rPr>
            </w:pPr>
          </w:p>
          <w:p w:rsidR="00BC0349" w:rsidRPr="00A14A05" w:rsidRDefault="00A14A05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3627,0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Default="00A14A05" w:rsidP="00A14A05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0,1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50" w:type="dxa"/>
          </w:tblCellMar>
        </w:tblPrEx>
        <w:trPr>
          <w:trHeight w:val="76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 школах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естетичного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виховання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фонду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4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Кошторис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3627,1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>
            <w:pPr>
              <w:ind w:right="51"/>
              <w:jc w:val="center"/>
            </w:pPr>
          </w:p>
          <w:p w:rsidR="00A14A05" w:rsidRPr="00A14A05" w:rsidRDefault="00A14A05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3627,0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A14A05">
            <w:pPr>
              <w:ind w:left="1028" w:right="992" w:firstLine="38"/>
            </w:pPr>
            <w:r>
              <w:rPr>
                <w:rFonts w:ascii="Times New Roman" w:eastAsia="Times New Roman" w:hAnsi="Times New Roman" w:cs="Times New Roman"/>
              </w:rPr>
              <w:t xml:space="preserve"> 0,1</w:t>
            </w:r>
            <w:r w:rsidR="004542F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76" w:type="dxa"/>
          </w:tblCellMar>
        </w:tblPrEx>
        <w:trPr>
          <w:trHeight w:val="26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2414100 </w:t>
            </w:r>
          </w:p>
        </w:tc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продукту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76" w:type="dxa"/>
          </w:tblCellMar>
        </w:tblPrEx>
        <w:trPr>
          <w:trHeight w:val="1277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учнів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отримують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освіту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 школах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естетичного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виховання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2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spacing w:after="5" w:line="234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 штатам і </w:t>
            </w:r>
          </w:p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контингентам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шкіл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25"/>
              <w:jc w:val="center"/>
              <w:rPr>
                <w:lang w:val="uk-UA"/>
              </w:rPr>
            </w:pPr>
            <w:r>
              <w:rPr>
                <w:lang w:val="uk-UA"/>
              </w:rPr>
              <w:t>265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>
            <w:pPr>
              <w:ind w:left="5"/>
            </w:pPr>
          </w:p>
          <w:p w:rsidR="00A14A05" w:rsidRDefault="00A14A05">
            <w:pPr>
              <w:ind w:left="5"/>
            </w:pPr>
          </w:p>
          <w:p w:rsidR="00A14A05" w:rsidRPr="00A14A05" w:rsidRDefault="00A14A05" w:rsidP="00A14A05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265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>
            <w:pPr>
              <w:ind w:right="30"/>
              <w:jc w:val="center"/>
            </w:pPr>
          </w:p>
          <w:p w:rsidR="00A14A05" w:rsidRPr="00A14A05" w:rsidRDefault="00A14A05">
            <w:pPr>
              <w:ind w:right="3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76" w:type="dxa"/>
          </w:tblCellMar>
        </w:tblPrEx>
        <w:trPr>
          <w:trHeight w:val="102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учнів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звільнених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плати за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100%)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2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spacing w:line="239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 штатам і </w:t>
            </w:r>
          </w:p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контингентам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шкіл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left="30"/>
              <w:jc w:val="center"/>
              <w:rPr>
                <w:lang w:val="uk-UA"/>
              </w:rPr>
            </w:pPr>
            <w:r>
              <w:rPr>
                <w:lang w:val="uk-UA"/>
              </w:rPr>
              <w:t>265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 w:rsidP="00A14A05">
            <w:pPr>
              <w:ind w:left="5"/>
              <w:jc w:val="center"/>
            </w:pPr>
          </w:p>
          <w:p w:rsidR="00A14A05" w:rsidRPr="00A14A05" w:rsidRDefault="00A14A05" w:rsidP="00A14A05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265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Pr="00A14A05" w:rsidRDefault="00A14A05">
            <w:pPr>
              <w:ind w:right="3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76" w:type="dxa"/>
          </w:tblCellMar>
        </w:tblPrEx>
        <w:trPr>
          <w:trHeight w:val="2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2414100 </w:t>
            </w:r>
          </w:p>
        </w:tc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76" w:type="dxa"/>
          </w:tblCellMar>
        </w:tblPrEx>
        <w:trPr>
          <w:trHeight w:val="519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учнів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одну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педагогічну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ставку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3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2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Pr="00A14A05" w:rsidRDefault="00A14A05">
            <w:pPr>
              <w:ind w:right="3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,5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A14A05">
              <w:rPr>
                <w:rFonts w:ascii="Times New Roman" w:eastAsia="Times New Roman" w:hAnsi="Times New Roman" w:cs="Times New Roman"/>
                <w:lang w:val="uk-UA"/>
              </w:rPr>
              <w:t>,5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Default="004542F1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76" w:type="dxa"/>
          </w:tblCellMar>
        </w:tblPrEx>
        <w:trPr>
          <w:trHeight w:val="76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 w:right="25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одного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отримує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освіту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школах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естетичного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виховання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Грн.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2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Pr="00A14A05" w:rsidRDefault="00A14A05">
            <w:pPr>
              <w:ind w:right="25"/>
              <w:jc w:val="center"/>
              <w:rPr>
                <w:lang w:val="uk-UA"/>
              </w:rPr>
            </w:pPr>
            <w:r>
              <w:rPr>
                <w:lang w:val="uk-UA"/>
              </w:rPr>
              <w:t>13687,1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>
            <w:pPr>
              <w:ind w:right="26"/>
              <w:jc w:val="center"/>
            </w:pPr>
          </w:p>
          <w:p w:rsidR="00A14A05" w:rsidRPr="00A14A05" w:rsidRDefault="00A14A05">
            <w:pPr>
              <w:ind w:right="26"/>
              <w:jc w:val="center"/>
              <w:rPr>
                <w:lang w:val="uk-UA"/>
              </w:rPr>
            </w:pPr>
            <w:r>
              <w:rPr>
                <w:lang w:val="uk-UA"/>
              </w:rPr>
              <w:t>13686,8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Default="00A14A05" w:rsidP="00A14A05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>0,3</w:t>
            </w:r>
            <w:r w:rsidR="004542F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A14A05">
        <w:tblPrEx>
          <w:tblCellMar>
            <w:top w:w="5" w:type="dxa"/>
            <w:left w:w="106" w:type="dxa"/>
            <w:right w:w="76" w:type="dxa"/>
          </w:tblCellMar>
        </w:tblPrEx>
        <w:trPr>
          <w:trHeight w:val="259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2414100 </w:t>
            </w:r>
          </w:p>
        </w:tc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14A05" w:rsidTr="009714B1">
        <w:tblPrEx>
          <w:tblCellMar>
            <w:top w:w="5" w:type="dxa"/>
            <w:left w:w="106" w:type="dxa"/>
            <w:right w:w="76" w:type="dxa"/>
          </w:tblCellMar>
        </w:tblPrEx>
        <w:trPr>
          <w:trHeight w:val="1023"/>
        </w:trPr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4A05" w:rsidRDefault="00A14A05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A05" w:rsidRDefault="00A14A05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A05" w:rsidRDefault="00A14A05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Динаміка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кількості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учнів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отримують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освіту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 школах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естетичного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виховання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плановому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</w:t>
            </w:r>
          </w:p>
          <w:p w:rsidR="00A14A05" w:rsidRDefault="00A14A05" w:rsidP="00BB44BA">
            <w:pPr>
              <w:ind w:left="31" w:right="34"/>
            </w:pPr>
            <w:r>
              <w:rPr>
                <w:rFonts w:ascii="Times New Roman" w:eastAsia="Times New Roman" w:hAnsi="Times New Roman" w:cs="Times New Roman"/>
              </w:rPr>
              <w:t xml:space="preserve">фактичного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попереднього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4A05" w:rsidRDefault="00A14A05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A05" w:rsidRDefault="00A14A05">
            <w:pPr>
              <w:ind w:right="2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A05" w:rsidRPr="00A14A05" w:rsidRDefault="00A14A05">
            <w:pPr>
              <w:ind w:right="25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A05" w:rsidRDefault="00A14A05">
            <w:pPr>
              <w:ind w:right="25"/>
              <w:jc w:val="center"/>
            </w:pPr>
          </w:p>
          <w:p w:rsidR="00A14A05" w:rsidRPr="00A14A05" w:rsidRDefault="00A14A05">
            <w:pPr>
              <w:ind w:right="25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24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A05" w:rsidRDefault="00A14A05">
            <w:pPr>
              <w:ind w:right="30"/>
              <w:jc w:val="center"/>
            </w:pPr>
          </w:p>
          <w:p w:rsidR="00A14A05" w:rsidRPr="00A14A05" w:rsidRDefault="00A14A05">
            <w:pPr>
              <w:ind w:right="3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14A05" w:rsidTr="009714B1">
        <w:tblPrEx>
          <w:tblCellMar>
            <w:top w:w="5" w:type="dxa"/>
            <w:left w:w="0" w:type="dxa"/>
            <w:right w:w="55" w:type="dxa"/>
          </w:tblCellMar>
        </w:tblPrEx>
        <w:trPr>
          <w:trHeight w:val="514"/>
        </w:trPr>
        <w:tc>
          <w:tcPr>
            <w:tcW w:w="5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A05" w:rsidRDefault="00A14A05"/>
        </w:tc>
        <w:tc>
          <w:tcPr>
            <w:tcW w:w="11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A05" w:rsidRDefault="00A14A05"/>
        </w:tc>
        <w:tc>
          <w:tcPr>
            <w:tcW w:w="366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A05" w:rsidRDefault="00A14A05">
            <w:pPr>
              <w:ind w:left="31" w:right="34"/>
            </w:pPr>
          </w:p>
        </w:tc>
        <w:tc>
          <w:tcPr>
            <w:tcW w:w="113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A05" w:rsidRDefault="00A14A05"/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A05" w:rsidRDefault="00A14A05"/>
        </w:tc>
        <w:tc>
          <w:tcPr>
            <w:tcW w:w="2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A05" w:rsidRDefault="00A14A05"/>
        </w:tc>
        <w:tc>
          <w:tcPr>
            <w:tcW w:w="2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A05" w:rsidRDefault="00A14A05"/>
        </w:tc>
        <w:tc>
          <w:tcPr>
            <w:tcW w:w="24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A05" w:rsidRDefault="00A14A05"/>
        </w:tc>
      </w:tr>
    </w:tbl>
    <w:p w:rsidR="00BC0349" w:rsidRDefault="004542F1">
      <w:pPr>
        <w:pStyle w:val="1"/>
        <w:ind w:left="-5"/>
      </w:pPr>
      <w:r>
        <w:t xml:space="preserve">8. </w:t>
      </w:r>
      <w:proofErr w:type="spellStart"/>
      <w:r>
        <w:t>Джерела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підпрограм</w:t>
      </w:r>
      <w:r>
        <w:rPr>
          <w:vertAlign w:val="superscript"/>
        </w:rPr>
        <w:t>3</w:t>
      </w:r>
      <w:r>
        <w:t xml:space="preserve"> </w:t>
      </w:r>
    </w:p>
    <w:tbl>
      <w:tblPr>
        <w:tblStyle w:val="TableGrid"/>
        <w:tblW w:w="15235" w:type="dxa"/>
        <w:tblInd w:w="-110" w:type="dxa"/>
        <w:tblCellMar>
          <w:top w:w="5" w:type="dxa"/>
          <w:left w:w="110" w:type="dxa"/>
          <w:right w:w="31" w:type="dxa"/>
        </w:tblCellMar>
        <w:tblLook w:val="04A0" w:firstRow="1" w:lastRow="0" w:firstColumn="1" w:lastColumn="0" w:noHBand="0" w:noVBand="1"/>
      </w:tblPr>
      <w:tblGrid>
        <w:gridCol w:w="676"/>
        <w:gridCol w:w="2693"/>
        <w:gridCol w:w="994"/>
        <w:gridCol w:w="994"/>
        <w:gridCol w:w="989"/>
        <w:gridCol w:w="711"/>
        <w:gridCol w:w="994"/>
        <w:gridCol w:w="994"/>
        <w:gridCol w:w="706"/>
        <w:gridCol w:w="994"/>
        <w:gridCol w:w="994"/>
        <w:gridCol w:w="706"/>
        <w:gridCol w:w="994"/>
        <w:gridCol w:w="994"/>
        <w:gridCol w:w="802"/>
      </w:tblGrid>
      <w:tr w:rsidR="00BC0349" w:rsidTr="001B3D84">
        <w:trPr>
          <w:trHeight w:val="769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6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джерел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4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КПКВК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станом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  01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січня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spacing w:after="40" w:line="239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Прогноз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кінця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інвестиційного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C0349" w:rsidRDefault="004542F1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проекту </w:t>
            </w:r>
          </w:p>
        </w:tc>
      </w:tr>
      <w:tr w:rsidR="00BC0349">
        <w:trPr>
          <w:trHeight w:val="7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BC0349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spacing w:after="12"/>
              <w:ind w:left="10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BC0349" w:rsidRDefault="004542F1">
            <w:pPr>
              <w:ind w:right="7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spacing w:after="12"/>
              <w:ind w:left="10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BC0349" w:rsidRDefault="004542F1">
            <w:pPr>
              <w:ind w:right="8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spacing w:after="12"/>
              <w:ind w:left="14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BC0349" w:rsidRDefault="004542F1">
            <w:pPr>
              <w:ind w:right="7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spacing w:after="12"/>
              <w:ind w:left="14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BC0349" w:rsidRDefault="004542F1">
            <w:pPr>
              <w:ind w:right="7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49" w:rsidRDefault="004542F1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</w:tr>
      <w:tr w:rsidR="00BC0349" w:rsidTr="001B3D84">
        <w:trPr>
          <w:trHeight w:val="25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14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15 </w:t>
            </w:r>
          </w:p>
        </w:tc>
      </w:tr>
      <w:tr w:rsidR="00BC0349" w:rsidTr="001B3D84">
        <w:trPr>
          <w:trHeight w:val="26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roofErr w:type="spellStart"/>
            <w:r>
              <w:rPr>
                <w:rFonts w:ascii="Times New Roman" w:eastAsia="Times New Roman" w:hAnsi="Times New Roman" w:cs="Times New Roman"/>
              </w:rPr>
              <w:t>Підпрограма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1B3D84">
        <w:trPr>
          <w:trHeight w:val="26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roofErr w:type="spellStart"/>
            <w:r>
              <w:rPr>
                <w:rFonts w:ascii="Times New Roman" w:eastAsia="Times New Roman" w:hAnsi="Times New Roman" w:cs="Times New Roman"/>
              </w:rPr>
              <w:t>Інвестиційний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проект 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1B3D84">
        <w:trPr>
          <w:trHeight w:val="51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39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Надходження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бюджету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1B3D84">
        <w:trPr>
          <w:trHeight w:val="51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(за видами)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1B3D84">
        <w:trPr>
          <w:trHeight w:val="26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r>
              <w:rPr>
                <w:rFonts w:ascii="Times New Roman" w:eastAsia="Times New Roman" w:hAnsi="Times New Roman" w:cs="Times New Roman"/>
              </w:rPr>
              <w:t xml:space="preserve">…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C0349" w:rsidTr="001B3D84">
        <w:trPr>
          <w:trHeight w:val="26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5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49" w:rsidRDefault="004542F1">
            <w:pPr>
              <w:ind w:right="9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Пояснення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розбіжностей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між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фактичними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надходженнями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BC0349" w:rsidRDefault="004542F1" w:rsidP="00312DDD">
      <w:pPr>
        <w:spacing w:after="213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C0349" w:rsidRPr="001B3D84" w:rsidRDefault="004542F1">
      <w:pPr>
        <w:numPr>
          <w:ilvl w:val="0"/>
          <w:numId w:val="2"/>
        </w:numPr>
        <w:spacing w:after="32"/>
        <w:ind w:hanging="125"/>
        <w:rPr>
          <w:sz w:val="16"/>
          <w:szCs w:val="16"/>
        </w:rPr>
      </w:pPr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Код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функціональної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класифікації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видатків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та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кредитування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бюджету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вказується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лише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у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випадку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, коли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бюджетна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програма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не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поділяється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на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підпрограми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</w:p>
    <w:p w:rsidR="00BC0349" w:rsidRPr="001B3D84" w:rsidRDefault="004542F1">
      <w:pPr>
        <w:numPr>
          <w:ilvl w:val="0"/>
          <w:numId w:val="2"/>
        </w:numPr>
        <w:spacing w:after="32"/>
        <w:ind w:hanging="125"/>
        <w:rPr>
          <w:sz w:val="16"/>
          <w:szCs w:val="16"/>
        </w:rPr>
      </w:pP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Зазначаються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усі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підпрограми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та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завдання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затверджені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паспортом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бюджетної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програми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</w:p>
    <w:p w:rsidR="00BC0349" w:rsidRPr="001B3D84" w:rsidRDefault="004542F1">
      <w:pPr>
        <w:numPr>
          <w:ilvl w:val="0"/>
          <w:numId w:val="2"/>
        </w:numPr>
        <w:spacing w:after="134"/>
        <w:ind w:hanging="125"/>
        <w:rPr>
          <w:sz w:val="16"/>
          <w:szCs w:val="16"/>
        </w:rPr>
      </w:pPr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Пункт 8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заповнюється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тільки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для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затверджених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у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місцевому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бюджеті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видатків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>/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надання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кредитів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на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реалізацію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інвестиційних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проектів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 (</w:t>
      </w:r>
      <w:proofErr w:type="spellStart"/>
      <w:r w:rsidRPr="001B3D84">
        <w:rPr>
          <w:rFonts w:ascii="Times New Roman" w:eastAsia="Times New Roman" w:hAnsi="Times New Roman" w:cs="Times New Roman"/>
          <w:sz w:val="16"/>
          <w:szCs w:val="16"/>
        </w:rPr>
        <w:t>програм</w:t>
      </w:r>
      <w:proofErr w:type="spellEnd"/>
      <w:r w:rsidRPr="001B3D84">
        <w:rPr>
          <w:rFonts w:ascii="Times New Roman" w:eastAsia="Times New Roman" w:hAnsi="Times New Roman" w:cs="Times New Roman"/>
          <w:sz w:val="16"/>
          <w:szCs w:val="16"/>
        </w:rPr>
        <w:t xml:space="preserve">). </w:t>
      </w:r>
    </w:p>
    <w:p w:rsidR="001B3D84" w:rsidRPr="001B3D84" w:rsidRDefault="001B3D84" w:rsidP="001B3D84">
      <w:pPr>
        <w:spacing w:after="134"/>
        <w:ind w:left="125"/>
        <w:rPr>
          <w:sz w:val="16"/>
          <w:szCs w:val="16"/>
        </w:rPr>
      </w:pPr>
      <w:bookmarkStart w:id="0" w:name="_GoBack"/>
      <w:bookmarkEnd w:id="0"/>
    </w:p>
    <w:p w:rsidR="008C33F1" w:rsidRDefault="004542F1" w:rsidP="001B3D84">
      <w:pPr>
        <w:spacing w:after="165"/>
        <w:rPr>
          <w:rFonts w:ascii="Times New Roman" w:hAnsi="Times New Roman"/>
          <w:szCs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C33F1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="008C33F1">
        <w:rPr>
          <w:rFonts w:ascii="Times New Roman" w:hAnsi="Times New Roman"/>
          <w:sz w:val="28"/>
          <w:szCs w:val="28"/>
        </w:rPr>
        <w:t>відділу</w:t>
      </w:r>
      <w:proofErr w:type="spellEnd"/>
      <w:r w:rsidR="008C3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33F1">
        <w:rPr>
          <w:rFonts w:ascii="Times New Roman" w:hAnsi="Times New Roman"/>
          <w:sz w:val="28"/>
          <w:szCs w:val="28"/>
        </w:rPr>
        <w:t>культури</w:t>
      </w:r>
      <w:proofErr w:type="spellEnd"/>
      <w:r w:rsidR="008C33F1">
        <w:rPr>
          <w:rFonts w:ascii="Times New Roman" w:hAnsi="Times New Roman"/>
          <w:szCs w:val="28"/>
        </w:rPr>
        <w:t xml:space="preserve">                                                                          </w:t>
      </w:r>
      <w:r w:rsidR="008C33F1">
        <w:rPr>
          <w:rFonts w:ascii="Times New Roman" w:hAnsi="Times New Roman"/>
          <w:szCs w:val="28"/>
          <w:lang w:val="uk-UA"/>
        </w:rPr>
        <w:t xml:space="preserve">             </w:t>
      </w:r>
      <w:r w:rsidR="008C33F1">
        <w:rPr>
          <w:rFonts w:ascii="Times New Roman" w:hAnsi="Times New Roman"/>
          <w:szCs w:val="28"/>
        </w:rPr>
        <w:t xml:space="preserve"> __________  </w:t>
      </w:r>
      <w:r w:rsidR="008C33F1">
        <w:rPr>
          <w:rFonts w:ascii="Times New Roman" w:hAnsi="Times New Roman"/>
          <w:szCs w:val="28"/>
          <w:lang w:val="uk-UA"/>
        </w:rPr>
        <w:t xml:space="preserve">                     </w:t>
      </w:r>
      <w:r w:rsidR="008C33F1">
        <w:rPr>
          <w:rFonts w:ascii="Times New Roman" w:hAnsi="Times New Roman"/>
          <w:szCs w:val="28"/>
        </w:rPr>
        <w:t>__</w:t>
      </w:r>
      <w:r w:rsidR="008C33F1">
        <w:rPr>
          <w:rFonts w:ascii="Times New Roman" w:hAnsi="Times New Roman"/>
          <w:sz w:val="28"/>
          <w:szCs w:val="28"/>
          <w:u w:val="single"/>
        </w:rPr>
        <w:t xml:space="preserve">Є.К. </w:t>
      </w:r>
      <w:proofErr w:type="spellStart"/>
      <w:r w:rsidR="008C33F1">
        <w:rPr>
          <w:rFonts w:ascii="Times New Roman" w:hAnsi="Times New Roman"/>
          <w:sz w:val="28"/>
          <w:szCs w:val="28"/>
          <w:u w:val="single"/>
        </w:rPr>
        <w:t>Сидорчук</w:t>
      </w:r>
      <w:proofErr w:type="spellEnd"/>
      <w:r w:rsidR="008C33F1">
        <w:rPr>
          <w:rFonts w:ascii="Times New Roman" w:hAnsi="Times New Roman"/>
          <w:szCs w:val="28"/>
        </w:rPr>
        <w:t>__</w:t>
      </w:r>
      <w:r w:rsidR="008C33F1">
        <w:rPr>
          <w:rFonts w:ascii="Times New Roman" w:hAnsi="Times New Roman"/>
          <w:szCs w:val="28"/>
        </w:rPr>
        <w:br/>
        <w:t xml:space="preserve">                 </w:t>
      </w:r>
      <w:r w:rsidR="008C33F1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 w:rsidR="008C33F1">
        <w:rPr>
          <w:rFonts w:ascii="Times New Roman" w:hAnsi="Times New Roman"/>
          <w:sz w:val="20"/>
        </w:rPr>
        <w:t xml:space="preserve">   (</w:t>
      </w:r>
      <w:proofErr w:type="spellStart"/>
      <w:proofErr w:type="gramEnd"/>
      <w:r w:rsidR="008C33F1">
        <w:rPr>
          <w:rFonts w:ascii="Times New Roman" w:hAnsi="Times New Roman"/>
          <w:sz w:val="20"/>
        </w:rPr>
        <w:t>підпис</w:t>
      </w:r>
      <w:proofErr w:type="spellEnd"/>
      <w:r w:rsidR="008C33F1">
        <w:rPr>
          <w:rFonts w:ascii="Times New Roman" w:hAnsi="Times New Roman"/>
          <w:sz w:val="20"/>
        </w:rPr>
        <w:t>)                          (</w:t>
      </w:r>
      <w:proofErr w:type="spellStart"/>
      <w:r w:rsidR="008C33F1">
        <w:rPr>
          <w:rFonts w:ascii="Times New Roman" w:hAnsi="Times New Roman"/>
          <w:sz w:val="20"/>
        </w:rPr>
        <w:t>ініціали</w:t>
      </w:r>
      <w:proofErr w:type="spellEnd"/>
      <w:r w:rsidR="008C33F1">
        <w:rPr>
          <w:rFonts w:ascii="Times New Roman" w:hAnsi="Times New Roman"/>
          <w:sz w:val="20"/>
        </w:rPr>
        <w:t xml:space="preserve"> та </w:t>
      </w:r>
      <w:proofErr w:type="spellStart"/>
      <w:r w:rsidR="008C33F1">
        <w:rPr>
          <w:rFonts w:ascii="Times New Roman" w:hAnsi="Times New Roman"/>
          <w:sz w:val="20"/>
        </w:rPr>
        <w:t>прізвище</w:t>
      </w:r>
      <w:proofErr w:type="spellEnd"/>
      <w:r w:rsidR="008C33F1">
        <w:rPr>
          <w:rFonts w:ascii="Times New Roman" w:hAnsi="Times New Roman"/>
          <w:sz w:val="20"/>
        </w:rPr>
        <w:t>)</w:t>
      </w:r>
    </w:p>
    <w:p w:rsidR="008C33F1" w:rsidRDefault="008C33F1" w:rsidP="008C33F1">
      <w:pPr>
        <w:spacing w:after="0"/>
      </w:pPr>
      <w:r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>
        <w:rPr>
          <w:rFonts w:ascii="Times New Roman" w:hAnsi="Times New Roman"/>
          <w:szCs w:val="28"/>
        </w:rPr>
        <w:t xml:space="preserve">                                    </w:t>
      </w:r>
      <w:r>
        <w:rPr>
          <w:rFonts w:ascii="Times New Roman" w:hAnsi="Times New Roman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Cs w:val="28"/>
        </w:rPr>
        <w:t xml:space="preserve">  __________  </w:t>
      </w:r>
      <w:r>
        <w:rPr>
          <w:rFonts w:ascii="Times New Roman" w:hAnsi="Times New Roman"/>
          <w:szCs w:val="28"/>
          <w:lang w:val="uk-UA"/>
        </w:rPr>
        <w:t xml:space="preserve">            </w:t>
      </w:r>
      <w:r>
        <w:rPr>
          <w:rFonts w:ascii="Times New Roman" w:hAnsi="Times New Roman"/>
          <w:szCs w:val="28"/>
        </w:rPr>
        <w:t>____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Н.М.Тищук</w:t>
      </w:r>
      <w:proofErr w:type="spellEnd"/>
      <w:r>
        <w:rPr>
          <w:rFonts w:ascii="Times New Roman" w:hAnsi="Times New Roman"/>
          <w:szCs w:val="28"/>
        </w:rPr>
        <w:t xml:space="preserve">____ </w:t>
      </w:r>
      <w:r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/>
          <w:sz w:val="20"/>
        </w:rPr>
        <w:t>підпис</w:t>
      </w:r>
      <w:proofErr w:type="spellEnd"/>
      <w:r>
        <w:rPr>
          <w:rFonts w:ascii="Times New Roman" w:hAnsi="Times New Roman"/>
          <w:sz w:val="20"/>
        </w:rPr>
        <w:t>)                         (</w:t>
      </w:r>
      <w:proofErr w:type="spellStart"/>
      <w:r>
        <w:rPr>
          <w:rFonts w:ascii="Times New Roman" w:hAnsi="Times New Roman"/>
          <w:sz w:val="20"/>
        </w:rPr>
        <w:t>ініціали</w:t>
      </w:r>
      <w:proofErr w:type="spellEnd"/>
      <w:r>
        <w:rPr>
          <w:rFonts w:ascii="Times New Roman" w:hAnsi="Times New Roman"/>
          <w:sz w:val="20"/>
        </w:rPr>
        <w:t xml:space="preserve"> та </w:t>
      </w:r>
      <w:proofErr w:type="spellStart"/>
      <w:r>
        <w:rPr>
          <w:rFonts w:ascii="Times New Roman" w:hAnsi="Times New Roman"/>
          <w:sz w:val="20"/>
        </w:rPr>
        <w:t>прізвище</w:t>
      </w:r>
      <w:proofErr w:type="spellEnd"/>
      <w:r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Arial" w:eastAsia="Arial" w:hAnsi="Arial" w:cs="Arial"/>
          <w:sz w:val="28"/>
        </w:rPr>
        <w:t xml:space="preserve">  </w:t>
      </w:r>
    </w:p>
    <w:p w:rsidR="00BC0349" w:rsidRDefault="004542F1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p w:rsidR="00BC0349" w:rsidRDefault="004542F1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sectPr w:rsidR="00BC0349">
      <w:headerReference w:type="even" r:id="rId7"/>
      <w:headerReference w:type="default" r:id="rId8"/>
      <w:headerReference w:type="first" r:id="rId9"/>
      <w:pgSz w:w="16838" w:h="11904" w:orient="landscape"/>
      <w:pgMar w:top="626" w:right="492" w:bottom="586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5F2" w:rsidRDefault="009305F2">
      <w:pPr>
        <w:spacing w:after="0" w:line="240" w:lineRule="auto"/>
      </w:pPr>
      <w:r>
        <w:separator/>
      </w:r>
    </w:p>
  </w:endnote>
  <w:endnote w:type="continuationSeparator" w:id="0">
    <w:p w:rsidR="009305F2" w:rsidRDefault="00930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5F2" w:rsidRDefault="009305F2">
      <w:pPr>
        <w:spacing w:after="0" w:line="240" w:lineRule="auto"/>
      </w:pPr>
      <w:r>
        <w:separator/>
      </w:r>
    </w:p>
  </w:footnote>
  <w:footnote w:type="continuationSeparator" w:id="0">
    <w:p w:rsidR="009305F2" w:rsidRDefault="00930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F1" w:rsidRDefault="004542F1">
    <w:pPr>
      <w:spacing w:after="16"/>
      <w:ind w:right="4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4542F1" w:rsidRDefault="004542F1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F1" w:rsidRDefault="004542F1">
    <w:pPr>
      <w:spacing w:after="16"/>
      <w:ind w:right="4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3D84" w:rsidRPr="001B3D84">
      <w:rPr>
        <w:rFonts w:ascii="Times New Roman" w:eastAsia="Times New Roman" w:hAnsi="Times New Roman" w:cs="Times New Roman"/>
        <w:noProof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4542F1" w:rsidRDefault="004542F1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F1" w:rsidRDefault="004542F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F1BB4"/>
    <w:multiLevelType w:val="hybridMultilevel"/>
    <w:tmpl w:val="160C421A"/>
    <w:lvl w:ilvl="0" w:tplc="6BE6D808">
      <w:start w:val="1"/>
      <w:numFmt w:val="decimal"/>
      <w:lvlText w:val="%1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66902B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14041A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AC3852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706ECD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38F2E7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12F0DE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1034FA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258255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">
    <w:nsid w:val="7E392600"/>
    <w:multiLevelType w:val="hybridMultilevel"/>
    <w:tmpl w:val="3084A968"/>
    <w:lvl w:ilvl="0" w:tplc="AD7CF492">
      <w:start w:val="1"/>
      <w:numFmt w:val="decimal"/>
      <w:lvlText w:val="%1.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0E99BA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023A30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E043BC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D68C96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50BA3E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76D2BC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BC8B5A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DC498E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349"/>
    <w:rsid w:val="001B3D84"/>
    <w:rsid w:val="00312DDD"/>
    <w:rsid w:val="004542F1"/>
    <w:rsid w:val="008C33F1"/>
    <w:rsid w:val="009305F2"/>
    <w:rsid w:val="00A14A05"/>
    <w:rsid w:val="00A175D9"/>
    <w:rsid w:val="00BC0349"/>
    <w:rsid w:val="00E0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C19E3-A133-47AE-A5B3-0793652C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130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B3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3D8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georgina</dc:creator>
  <cp:keywords/>
  <cp:lastModifiedBy>123</cp:lastModifiedBy>
  <cp:revision>6</cp:revision>
  <cp:lastPrinted>2018-02-02T12:24:00Z</cp:lastPrinted>
  <dcterms:created xsi:type="dcterms:W3CDTF">2018-02-01T09:00:00Z</dcterms:created>
  <dcterms:modified xsi:type="dcterms:W3CDTF">2018-02-02T12:24:00Z</dcterms:modified>
</cp:coreProperties>
</file>